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25" w:rsidRPr="00DE7856" w:rsidRDefault="00F95706" w:rsidP="00DE7856">
      <w:pPr>
        <w:pStyle w:val="20"/>
        <w:framePr w:w="9259" w:h="7426" w:hRule="exact" w:wrap="none" w:vAnchor="page" w:hAnchor="page" w:x="1767" w:y="2086"/>
        <w:shd w:val="clear" w:color="auto" w:fill="auto"/>
        <w:spacing w:after="0" w:line="240" w:lineRule="auto"/>
        <w:ind w:right="140"/>
        <w:rPr>
          <w:sz w:val="28"/>
          <w:szCs w:val="28"/>
        </w:rPr>
      </w:pPr>
      <w:r w:rsidRPr="00DE7856">
        <w:rPr>
          <w:sz w:val="28"/>
          <w:szCs w:val="28"/>
        </w:rPr>
        <w:t>CONTENTS</w:t>
      </w:r>
    </w:p>
    <w:p w:rsidR="00906D25" w:rsidRPr="00DE7856" w:rsidRDefault="00F95706" w:rsidP="00DE7856">
      <w:pPr>
        <w:pStyle w:val="30"/>
        <w:framePr w:w="9259" w:h="7426" w:hRule="exact" w:wrap="none" w:vAnchor="page" w:hAnchor="page" w:x="1767" w:y="2086"/>
        <w:shd w:val="clear" w:color="auto" w:fill="auto"/>
        <w:spacing w:before="0"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DE7856">
        <w:rPr>
          <w:rFonts w:ascii="Times New Roman" w:hAnsi="Times New Roman" w:cs="Times New Roman"/>
          <w:sz w:val="28"/>
          <w:szCs w:val="28"/>
        </w:rPr>
        <w:t>Genetics</w:t>
      </w:r>
    </w:p>
    <w:p w:rsidR="00906D25" w:rsidRPr="00DE7856" w:rsidRDefault="00F95706" w:rsidP="00DE7856">
      <w:pPr>
        <w:pStyle w:val="a7"/>
        <w:framePr w:w="9259" w:h="7426" w:hRule="exact" w:wrap="none" w:vAnchor="page" w:hAnchor="page" w:x="1767" w:y="2086"/>
        <w:shd w:val="clear" w:color="auto" w:fill="auto"/>
        <w:tabs>
          <w:tab w:val="right" w:leader="dot" w:pos="9224"/>
        </w:tabs>
        <w:spacing w:before="0" w:after="0" w:line="240" w:lineRule="auto"/>
        <w:ind w:right="20" w:firstLine="420"/>
        <w:jc w:val="center"/>
        <w:rPr>
          <w:sz w:val="28"/>
          <w:szCs w:val="28"/>
        </w:rPr>
      </w:pPr>
      <w:r w:rsidRPr="00DE7856">
        <w:rPr>
          <w:rStyle w:val="0pt"/>
          <w:i w:val="0"/>
          <w:sz w:val="28"/>
          <w:szCs w:val="28"/>
        </w:rPr>
        <w:t>Botbaeyev D.M., Belkozhaev A</w:t>
      </w:r>
      <w:r w:rsidR="00087A49">
        <w:rPr>
          <w:rStyle w:val="0pt"/>
          <w:i w:val="0"/>
          <w:sz w:val="28"/>
          <w:szCs w:val="28"/>
        </w:rPr>
        <w:t>.M., Khan</w:t>
      </w:r>
      <w:r w:rsidRPr="00DE7856">
        <w:rPr>
          <w:rStyle w:val="0pt"/>
          <w:i w:val="0"/>
          <w:sz w:val="28"/>
          <w:szCs w:val="28"/>
        </w:rPr>
        <w:t>seitova A.K.</w:t>
      </w:r>
      <w:r w:rsidR="00087A49">
        <w:rPr>
          <w:rStyle w:val="0pt"/>
          <w:i w:val="0"/>
          <w:sz w:val="28"/>
          <w:szCs w:val="28"/>
        </w:rPr>
        <w:t>, B</w:t>
      </w:r>
      <w:r w:rsidRPr="00DE7856">
        <w:rPr>
          <w:rStyle w:val="0pt"/>
          <w:i w:val="0"/>
          <w:sz w:val="28"/>
          <w:szCs w:val="28"/>
        </w:rPr>
        <w:t>orbaeva</w:t>
      </w:r>
      <w:r w:rsidR="00087A49">
        <w:rPr>
          <w:rStyle w:val="0pt"/>
          <w:i w:val="0"/>
          <w:sz w:val="28"/>
          <w:szCs w:val="28"/>
        </w:rPr>
        <w:t xml:space="preserve"> A.Zh., Aitkhozhina N.</w:t>
      </w:r>
      <w:r w:rsidRPr="00DE7856">
        <w:rPr>
          <w:rStyle w:val="0pt"/>
          <w:i w:val="0"/>
          <w:sz w:val="28"/>
          <w:szCs w:val="28"/>
        </w:rPr>
        <w:t>A.</w:t>
      </w:r>
      <w:r w:rsidRPr="00DE7856">
        <w:rPr>
          <w:sz w:val="28"/>
          <w:szCs w:val="28"/>
        </w:rPr>
        <w:t xml:space="preserve"> Pol</w:t>
      </w:r>
      <w:r w:rsidR="00087A49">
        <w:rPr>
          <w:sz w:val="28"/>
          <w:szCs w:val="28"/>
        </w:rPr>
        <w:t xml:space="preserve">ymorphisms </w:t>
      </w:r>
      <w:r w:rsidRPr="00DE7856">
        <w:rPr>
          <w:sz w:val="28"/>
          <w:szCs w:val="28"/>
        </w:rPr>
        <w:t>in the genes of reparations among empl</w:t>
      </w:r>
      <w:r w:rsidR="00087A49">
        <w:rPr>
          <w:sz w:val="28"/>
          <w:szCs w:val="28"/>
        </w:rPr>
        <w:t>oyees of the atomic industry of</w:t>
      </w:r>
      <w:r w:rsidRPr="00DE7856">
        <w:rPr>
          <w:sz w:val="28"/>
          <w:szCs w:val="28"/>
        </w:rPr>
        <w:t xml:space="preserve"> Kazakhstan</w:t>
      </w:r>
      <w:r w:rsidRPr="00DE7856">
        <w:rPr>
          <w:sz w:val="28"/>
          <w:szCs w:val="28"/>
        </w:rPr>
        <w:tab/>
        <w:t>5</w:t>
      </w:r>
    </w:p>
    <w:p w:rsidR="00906D25" w:rsidRPr="00DE7856" w:rsidRDefault="00F95706" w:rsidP="00DE7856">
      <w:pPr>
        <w:pStyle w:val="22"/>
        <w:framePr w:w="9259" w:h="7426" w:hRule="exact" w:wrap="none" w:vAnchor="page" w:hAnchor="page" w:x="1767" w:y="2086"/>
        <w:shd w:val="clear" w:color="auto" w:fill="auto"/>
        <w:spacing w:before="0" w:after="0" w:line="240" w:lineRule="auto"/>
        <w:ind w:right="140"/>
        <w:rPr>
          <w:sz w:val="28"/>
          <w:szCs w:val="28"/>
        </w:rPr>
      </w:pPr>
      <w:r w:rsidRPr="00DE7856">
        <w:rPr>
          <w:sz w:val="28"/>
          <w:szCs w:val="28"/>
        </w:rPr>
        <w:t>Pharmacology</w:t>
      </w:r>
    </w:p>
    <w:p w:rsidR="00906D25" w:rsidRPr="00DE7856" w:rsidRDefault="00087A49" w:rsidP="00DE7856">
      <w:pPr>
        <w:pStyle w:val="a7"/>
        <w:framePr w:w="9259" w:h="7426" w:hRule="exact" w:wrap="none" w:vAnchor="page" w:hAnchor="page" w:x="1767" w:y="2086"/>
        <w:shd w:val="clear" w:color="auto" w:fill="auto"/>
        <w:tabs>
          <w:tab w:val="right" w:leader="dot" w:pos="9224"/>
        </w:tabs>
        <w:spacing w:before="0" w:after="0" w:line="240" w:lineRule="auto"/>
        <w:ind w:right="20" w:firstLine="420"/>
        <w:jc w:val="center"/>
        <w:rPr>
          <w:sz w:val="28"/>
          <w:szCs w:val="28"/>
        </w:rPr>
      </w:pPr>
      <w:r>
        <w:rPr>
          <w:rStyle w:val="0pt"/>
          <w:i w:val="0"/>
          <w:sz w:val="28"/>
          <w:szCs w:val="28"/>
        </w:rPr>
        <w:t>Adekenova Kun</w:t>
      </w:r>
      <w:r w:rsidR="00F95706" w:rsidRPr="00DE7856">
        <w:rPr>
          <w:rStyle w:val="0pt"/>
          <w:i w:val="0"/>
          <w:sz w:val="28"/>
          <w:szCs w:val="28"/>
        </w:rPr>
        <w:t xml:space="preserve">zhan S., Maslova </w:t>
      </w:r>
      <w:r w:rsidR="00F95706" w:rsidRPr="00DE7856">
        <w:rPr>
          <w:rStyle w:val="0pt"/>
          <w:i w:val="0"/>
          <w:sz w:val="28"/>
          <w:szCs w:val="28"/>
          <w:lang w:val="ru-RU"/>
        </w:rPr>
        <w:t>О</w:t>
      </w:r>
      <w:r w:rsidR="00F95706" w:rsidRPr="00DE7856">
        <w:rPr>
          <w:rStyle w:val="0pt"/>
          <w:i w:val="0"/>
          <w:sz w:val="28"/>
          <w:szCs w:val="28"/>
        </w:rPr>
        <w:t xml:space="preserve">. </w:t>
      </w:r>
      <w:r>
        <w:rPr>
          <w:rStyle w:val="0pt"/>
          <w:i w:val="0"/>
          <w:sz w:val="28"/>
          <w:szCs w:val="28"/>
        </w:rPr>
        <w:t>V., Tolokonniko</w:t>
      </w:r>
      <w:r w:rsidR="00F95706" w:rsidRPr="00DE7856">
        <w:rPr>
          <w:rStyle w:val="0pt"/>
          <w:i w:val="0"/>
          <w:sz w:val="28"/>
          <w:szCs w:val="28"/>
        </w:rPr>
        <w:t>v E.G.</w:t>
      </w:r>
      <w:r w:rsidR="00F95706" w:rsidRPr="00DE7856">
        <w:rPr>
          <w:sz w:val="28"/>
          <w:szCs w:val="28"/>
        </w:rPr>
        <w:t xml:space="preserve"> Phannacoeconomic analysis of </w:t>
      </w:r>
      <w:r>
        <w:rPr>
          <w:sz w:val="28"/>
          <w:szCs w:val="28"/>
        </w:rPr>
        <w:t xml:space="preserve">antiparasitic drugs </w:t>
      </w:r>
      <w:r w:rsidR="00F95706" w:rsidRPr="00DE7856">
        <w:rPr>
          <w:sz w:val="28"/>
          <w:szCs w:val="28"/>
        </w:rPr>
        <w:t>for the treatment of giardiasis in adult</w:t>
      </w:r>
      <w:r w:rsidR="00F95706" w:rsidRPr="00DE7856">
        <w:rPr>
          <w:sz w:val="28"/>
          <w:szCs w:val="28"/>
        </w:rPr>
        <w:t xml:space="preserve"> patients</w:t>
      </w:r>
      <w:r w:rsidR="00F95706" w:rsidRPr="00DE7856">
        <w:rPr>
          <w:sz w:val="28"/>
          <w:szCs w:val="28"/>
        </w:rPr>
        <w:tab/>
        <w:t>11</w:t>
      </w:r>
    </w:p>
    <w:p w:rsidR="00906D25" w:rsidRPr="00DE7856" w:rsidRDefault="00F95706" w:rsidP="00DE7856">
      <w:pPr>
        <w:pStyle w:val="a7"/>
        <w:framePr w:w="9259" w:h="7426" w:hRule="exact" w:wrap="none" w:vAnchor="page" w:hAnchor="page" w:x="1767" w:y="2086"/>
        <w:shd w:val="clear" w:color="auto" w:fill="auto"/>
        <w:tabs>
          <w:tab w:val="right" w:leader="dot" w:pos="9224"/>
        </w:tabs>
        <w:spacing w:before="0" w:after="0" w:line="240" w:lineRule="auto"/>
        <w:ind w:right="20" w:firstLine="420"/>
        <w:jc w:val="center"/>
        <w:rPr>
          <w:sz w:val="28"/>
          <w:szCs w:val="28"/>
        </w:rPr>
      </w:pPr>
      <w:r w:rsidRPr="00DE7856">
        <w:rPr>
          <w:rStyle w:val="0pt"/>
          <w:i w:val="0"/>
          <w:sz w:val="28"/>
          <w:szCs w:val="28"/>
        </w:rPr>
        <w:t>Salimbaeva R.O., Tagay</w:t>
      </w:r>
      <w:r w:rsidR="00087A49">
        <w:rPr>
          <w:rStyle w:val="0pt"/>
          <w:i w:val="0"/>
          <w:sz w:val="28"/>
          <w:szCs w:val="28"/>
        </w:rPr>
        <w:t xml:space="preserve"> </w:t>
      </w:r>
      <w:r w:rsidRPr="00DE7856">
        <w:rPr>
          <w:rStyle w:val="0pt"/>
          <w:i w:val="0"/>
          <w:sz w:val="28"/>
          <w:szCs w:val="28"/>
        </w:rPr>
        <w:t>A</w:t>
      </w:r>
      <w:r w:rsidR="00087A49">
        <w:rPr>
          <w:rStyle w:val="0pt"/>
          <w:i w:val="0"/>
          <w:sz w:val="28"/>
          <w:szCs w:val="28"/>
        </w:rPr>
        <w:t>.</w:t>
      </w:r>
      <w:r w:rsidRPr="00DE7856">
        <w:rPr>
          <w:rStyle w:val="0pt"/>
          <w:i w:val="0"/>
          <w:sz w:val="28"/>
          <w:szCs w:val="28"/>
        </w:rPr>
        <w:t>A., Bulambaev A., Meyrambek K.</w:t>
      </w:r>
      <w:r w:rsidRPr="00DE7856">
        <w:rPr>
          <w:sz w:val="28"/>
          <w:szCs w:val="28"/>
        </w:rPr>
        <w:t xml:space="preserve"> Formation and implementation of competitive strategies in pharmaceutical companies</w:t>
      </w:r>
      <w:r w:rsidRPr="00DE7856">
        <w:rPr>
          <w:sz w:val="28"/>
          <w:szCs w:val="28"/>
        </w:rPr>
        <w:tab/>
        <w:t>17</w:t>
      </w:r>
    </w:p>
    <w:p w:rsidR="00906D25" w:rsidRPr="00DE7856" w:rsidRDefault="00F95706" w:rsidP="00DE7856">
      <w:pPr>
        <w:pStyle w:val="22"/>
        <w:framePr w:w="9259" w:h="7426" w:hRule="exact" w:wrap="none" w:vAnchor="page" w:hAnchor="page" w:x="1767" w:y="2086"/>
        <w:shd w:val="clear" w:color="auto" w:fill="auto"/>
        <w:spacing w:before="0" w:after="0" w:line="240" w:lineRule="auto"/>
        <w:ind w:right="140"/>
        <w:rPr>
          <w:sz w:val="28"/>
          <w:szCs w:val="28"/>
        </w:rPr>
      </w:pPr>
      <w:r w:rsidRPr="00DE7856">
        <w:rPr>
          <w:sz w:val="28"/>
          <w:szCs w:val="28"/>
        </w:rPr>
        <w:t>Bioinformatics</w:t>
      </w:r>
    </w:p>
    <w:p w:rsidR="00906D25" w:rsidRPr="00DE7856" w:rsidRDefault="00087A49" w:rsidP="00DE7856">
      <w:pPr>
        <w:pStyle w:val="a7"/>
        <w:framePr w:w="9259" w:h="7426" w:hRule="exact" w:wrap="none" w:vAnchor="page" w:hAnchor="page" w:x="1767" w:y="2086"/>
        <w:shd w:val="clear" w:color="auto" w:fill="auto"/>
        <w:tabs>
          <w:tab w:val="right" w:leader="dot" w:pos="9224"/>
        </w:tabs>
        <w:spacing w:before="0" w:after="0" w:line="240" w:lineRule="auto"/>
        <w:ind w:right="20" w:firstLine="420"/>
        <w:jc w:val="center"/>
        <w:rPr>
          <w:sz w:val="28"/>
          <w:szCs w:val="28"/>
        </w:rPr>
      </w:pPr>
      <w:r>
        <w:rPr>
          <w:rStyle w:val="0pt"/>
          <w:i w:val="0"/>
          <w:sz w:val="28"/>
          <w:szCs w:val="28"/>
        </w:rPr>
        <w:t>Belkozhayev AM., Niyazov</w:t>
      </w:r>
      <w:r w:rsidR="00F95706" w:rsidRPr="00DE7856">
        <w:rPr>
          <w:rStyle w:val="0pt"/>
          <w:i w:val="0"/>
          <w:sz w:val="28"/>
          <w:szCs w:val="28"/>
        </w:rPr>
        <w:t>i R.Ye.</w:t>
      </w:r>
      <w:r w:rsidR="00F95706" w:rsidRPr="00DE7856">
        <w:rPr>
          <w:sz w:val="28"/>
          <w:szCs w:val="28"/>
        </w:rPr>
        <w:t xml:space="preserve"> The interaction</w:t>
      </w:r>
      <w:r>
        <w:rPr>
          <w:sz w:val="28"/>
          <w:szCs w:val="28"/>
        </w:rPr>
        <w:t xml:space="preserve"> of miR-4258, miR-3960, miR-211</w:t>
      </w:r>
      <w:r w:rsidR="00F95706" w:rsidRPr="00DE7856">
        <w:rPr>
          <w:sz w:val="28"/>
          <w:szCs w:val="28"/>
        </w:rPr>
        <w:t>-3p and miR-3155b with mRNAs genes of non - polyglutamine trinucleotide disorders</w:t>
      </w:r>
      <w:r w:rsidR="00F95706" w:rsidRPr="00DE7856">
        <w:rPr>
          <w:sz w:val="28"/>
          <w:szCs w:val="28"/>
        </w:rPr>
        <w:tab/>
        <w:t>25</w:t>
      </w:r>
    </w:p>
    <w:p w:rsidR="00906D25" w:rsidRPr="00DE7856" w:rsidRDefault="00F95706" w:rsidP="00DE7856">
      <w:pPr>
        <w:pStyle w:val="22"/>
        <w:framePr w:w="9259" w:h="7426" w:hRule="exact" w:wrap="none" w:vAnchor="page" w:hAnchor="page" w:x="1767" w:y="2086"/>
        <w:shd w:val="clear" w:color="auto" w:fill="auto"/>
        <w:spacing w:before="0" w:after="0" w:line="240" w:lineRule="auto"/>
        <w:ind w:right="140"/>
        <w:rPr>
          <w:sz w:val="28"/>
          <w:szCs w:val="28"/>
        </w:rPr>
      </w:pPr>
      <w:r w:rsidRPr="00DE7856">
        <w:rPr>
          <w:sz w:val="28"/>
          <w:szCs w:val="28"/>
        </w:rPr>
        <w:t>Biologically active substances</w:t>
      </w:r>
    </w:p>
    <w:p w:rsidR="00906D25" w:rsidRPr="00DE7856" w:rsidRDefault="001920F7" w:rsidP="00DE7856">
      <w:pPr>
        <w:pStyle w:val="a7"/>
        <w:framePr w:w="9259" w:h="7426" w:hRule="exact" w:wrap="none" w:vAnchor="page" w:hAnchor="page" w:x="1767" w:y="2086"/>
        <w:shd w:val="clear" w:color="auto" w:fill="auto"/>
        <w:tabs>
          <w:tab w:val="right" w:leader="dot" w:pos="8809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rStyle w:val="0pt"/>
          <w:i w:val="0"/>
          <w:sz w:val="28"/>
          <w:szCs w:val="28"/>
        </w:rPr>
        <w:t>Yedilova A.K., Inelova Z</w:t>
      </w:r>
      <w:r w:rsidR="00F95706" w:rsidRPr="00DE7856">
        <w:rPr>
          <w:rStyle w:val="0pt"/>
          <w:i w:val="0"/>
          <w:sz w:val="28"/>
          <w:szCs w:val="28"/>
        </w:rPr>
        <w:t>.A.</w:t>
      </w:r>
      <w:r w:rsidR="00F95706" w:rsidRPr="00DE7856">
        <w:rPr>
          <w:sz w:val="28"/>
          <w:szCs w:val="28"/>
        </w:rPr>
        <w:t xml:space="preserve"> Features of the structure of natural populations Humulus Lupu</w:t>
      </w:r>
      <w:r w:rsidR="00F95706" w:rsidRPr="00DE7856">
        <w:rPr>
          <w:sz w:val="28"/>
          <w:szCs w:val="28"/>
        </w:rPr>
        <w:t>lus L. (Review)</w:t>
      </w:r>
      <w:r w:rsidR="00F95706" w:rsidRPr="00DE7856">
        <w:rPr>
          <w:sz w:val="28"/>
          <w:szCs w:val="28"/>
        </w:rPr>
        <w:tab/>
        <w:t>33</w:t>
      </w:r>
    </w:p>
    <w:p w:rsidR="00906D25" w:rsidRPr="00DE7856" w:rsidRDefault="00F95706" w:rsidP="00DE7856">
      <w:pPr>
        <w:pStyle w:val="22"/>
        <w:framePr w:w="9259" w:h="7426" w:hRule="exact" w:wrap="none" w:vAnchor="page" w:hAnchor="page" w:x="1767" w:y="2086"/>
        <w:shd w:val="clear" w:color="auto" w:fill="auto"/>
        <w:spacing w:before="0" w:after="0" w:line="240" w:lineRule="auto"/>
        <w:ind w:right="140"/>
        <w:rPr>
          <w:sz w:val="28"/>
          <w:szCs w:val="28"/>
        </w:rPr>
      </w:pPr>
      <w:r w:rsidRPr="00DE7856">
        <w:rPr>
          <w:sz w:val="28"/>
          <w:szCs w:val="28"/>
        </w:rPr>
        <w:t>Flora and fauna</w:t>
      </w:r>
    </w:p>
    <w:p w:rsidR="00906D25" w:rsidRPr="00DE7856" w:rsidRDefault="00F95706" w:rsidP="00DE7856">
      <w:pPr>
        <w:pStyle w:val="a7"/>
        <w:framePr w:w="9259" w:h="7426" w:hRule="exact" w:wrap="none" w:vAnchor="page" w:hAnchor="page" w:x="1767" w:y="2086"/>
        <w:shd w:val="clear" w:color="auto" w:fill="auto"/>
        <w:tabs>
          <w:tab w:val="right" w:leader="dot" w:pos="9224"/>
        </w:tabs>
        <w:spacing w:before="0" w:after="0" w:line="240" w:lineRule="auto"/>
        <w:ind w:right="20" w:firstLine="420"/>
        <w:jc w:val="center"/>
        <w:rPr>
          <w:sz w:val="28"/>
          <w:szCs w:val="28"/>
        </w:rPr>
      </w:pPr>
      <w:r w:rsidRPr="00DE7856">
        <w:rPr>
          <w:rStyle w:val="0pt"/>
          <w:i w:val="0"/>
          <w:sz w:val="28"/>
          <w:szCs w:val="28"/>
        </w:rPr>
        <w:t>AkimzhanovD.Sh., Esenbekova P</w:t>
      </w:r>
      <w:r w:rsidR="001920F7">
        <w:rPr>
          <w:rStyle w:val="0pt"/>
          <w:i w:val="0"/>
          <w:sz w:val="28"/>
          <w:szCs w:val="28"/>
        </w:rPr>
        <w:t>.</w:t>
      </w:r>
      <w:r w:rsidRPr="00DE7856">
        <w:rPr>
          <w:rStyle w:val="0pt"/>
          <w:i w:val="0"/>
          <w:sz w:val="28"/>
          <w:szCs w:val="28"/>
        </w:rPr>
        <w:t>A., Yelikbayev B.K.</w:t>
      </w:r>
      <w:r w:rsidRPr="00DE7856">
        <w:rPr>
          <w:sz w:val="28"/>
          <w:szCs w:val="28"/>
        </w:rPr>
        <w:t xml:space="preserve"> Materials for the Hemiptera fauna (Heteroptera) of Altyn Emel State National Nature Park</w:t>
      </w:r>
      <w:r w:rsidRPr="00DE7856">
        <w:rPr>
          <w:sz w:val="28"/>
          <w:szCs w:val="28"/>
        </w:rPr>
        <w:tab/>
        <w:t>41</w:t>
      </w:r>
    </w:p>
    <w:p w:rsidR="00906D25" w:rsidRPr="00DE7856" w:rsidRDefault="00F95706" w:rsidP="00DE7856">
      <w:pPr>
        <w:pStyle w:val="22"/>
        <w:framePr w:w="9259" w:h="7426" w:hRule="exact" w:wrap="none" w:vAnchor="page" w:hAnchor="page" w:x="1767" w:y="2086"/>
        <w:shd w:val="clear" w:color="auto" w:fill="auto"/>
        <w:spacing w:before="0" w:after="0" w:line="240" w:lineRule="auto"/>
        <w:ind w:right="140"/>
        <w:rPr>
          <w:sz w:val="28"/>
          <w:szCs w:val="28"/>
        </w:rPr>
      </w:pPr>
      <w:r w:rsidRPr="00DE7856">
        <w:rPr>
          <w:sz w:val="28"/>
          <w:szCs w:val="28"/>
        </w:rPr>
        <w:t>In memory of scientists</w:t>
      </w:r>
    </w:p>
    <w:p w:rsidR="00906D25" w:rsidRPr="00DE7856" w:rsidRDefault="00F95706" w:rsidP="00DE7856">
      <w:pPr>
        <w:pStyle w:val="a7"/>
        <w:framePr w:w="9259" w:h="7426" w:hRule="exact" w:wrap="none" w:vAnchor="page" w:hAnchor="page" w:x="1767" w:y="2086"/>
        <w:shd w:val="clear" w:color="auto" w:fill="auto"/>
        <w:tabs>
          <w:tab w:val="right" w:leader="dot" w:pos="8809"/>
        </w:tabs>
        <w:spacing w:before="0" w:after="0" w:line="240" w:lineRule="auto"/>
        <w:ind w:right="20"/>
        <w:jc w:val="center"/>
        <w:rPr>
          <w:sz w:val="28"/>
          <w:szCs w:val="28"/>
        </w:rPr>
      </w:pPr>
      <w:r w:rsidRPr="00DE7856">
        <w:rPr>
          <w:sz w:val="28"/>
          <w:szCs w:val="28"/>
        </w:rPr>
        <w:t>HUDAJBERGENOV Jenverbek Bekovich</w:t>
      </w:r>
      <w:r w:rsidRPr="00DE7856">
        <w:rPr>
          <w:sz w:val="28"/>
          <w:szCs w:val="28"/>
        </w:rPr>
        <w:tab/>
        <w:t>48</w:t>
      </w:r>
    </w:p>
    <w:p w:rsidR="00906D25" w:rsidRPr="00DE7856" w:rsidRDefault="00F95706" w:rsidP="00DE7856">
      <w:pPr>
        <w:pStyle w:val="a7"/>
        <w:framePr w:w="9259" w:h="7426" w:hRule="exact" w:wrap="none" w:vAnchor="page" w:hAnchor="page" w:x="1767" w:y="2086"/>
        <w:shd w:val="clear" w:color="auto" w:fill="auto"/>
        <w:tabs>
          <w:tab w:val="right" w:leader="dot" w:pos="8809"/>
        </w:tabs>
        <w:spacing w:before="0" w:after="0" w:line="240" w:lineRule="auto"/>
        <w:ind w:right="20"/>
        <w:jc w:val="center"/>
        <w:rPr>
          <w:sz w:val="28"/>
          <w:szCs w:val="28"/>
        </w:rPr>
      </w:pPr>
      <w:r w:rsidRPr="00DE7856">
        <w:rPr>
          <w:sz w:val="28"/>
          <w:szCs w:val="28"/>
        </w:rPr>
        <w:t xml:space="preserve">CHEKALIN Sergej </w:t>
      </w:r>
      <w:r w:rsidRPr="00DE7856">
        <w:rPr>
          <w:sz w:val="28"/>
          <w:szCs w:val="28"/>
        </w:rPr>
        <w:t>Vladimirovich</w:t>
      </w:r>
      <w:r w:rsidRPr="00DE7856">
        <w:rPr>
          <w:sz w:val="28"/>
          <w:szCs w:val="28"/>
        </w:rPr>
        <w:tab/>
        <w:t>50</w:t>
      </w:r>
    </w:p>
    <w:p w:rsidR="00906D25" w:rsidRPr="00DE7856" w:rsidRDefault="00906D25" w:rsidP="00DE78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D25" w:rsidRPr="00DE7856" w:rsidSect="00906D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06" w:rsidRDefault="00F95706" w:rsidP="00906D25">
      <w:r>
        <w:separator/>
      </w:r>
    </w:p>
  </w:endnote>
  <w:endnote w:type="continuationSeparator" w:id="1">
    <w:p w:rsidR="00F95706" w:rsidRDefault="00F95706" w:rsidP="0090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06" w:rsidRDefault="00F95706"/>
  </w:footnote>
  <w:footnote w:type="continuationSeparator" w:id="1">
    <w:p w:rsidR="00F95706" w:rsidRDefault="00F957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906D25"/>
    <w:rsid w:val="00087A49"/>
    <w:rsid w:val="001920F7"/>
    <w:rsid w:val="00906D25"/>
    <w:rsid w:val="00A11B40"/>
    <w:rsid w:val="00DE7856"/>
    <w:rsid w:val="00F9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D2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906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906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906D2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6">
    <w:name w:val="Оглавление_"/>
    <w:basedOn w:val="a0"/>
    <w:link w:val="a7"/>
    <w:rsid w:val="00906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Оглавление + Курсив;Интервал 0 pt"/>
    <w:basedOn w:val="a6"/>
    <w:rsid w:val="00906D25"/>
    <w:rPr>
      <w:i/>
      <w:iCs/>
      <w:color w:val="000000"/>
      <w:spacing w:val="-5"/>
      <w:w w:val="100"/>
      <w:position w:val="0"/>
      <w:lang w:val="en-US"/>
    </w:rPr>
  </w:style>
  <w:style w:type="character" w:customStyle="1" w:styleId="21">
    <w:name w:val="Оглавление (2)_"/>
    <w:basedOn w:val="a0"/>
    <w:link w:val="22"/>
    <w:rsid w:val="00906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a5">
    <w:name w:val="Колонтитул"/>
    <w:basedOn w:val="a"/>
    <w:link w:val="a4"/>
    <w:rsid w:val="00906D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9"/>
      <w:szCs w:val="19"/>
    </w:rPr>
  </w:style>
  <w:style w:type="paragraph" w:customStyle="1" w:styleId="20">
    <w:name w:val="Основной текст (2)"/>
    <w:basedOn w:val="a"/>
    <w:link w:val="2"/>
    <w:rsid w:val="00906D2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906D25"/>
    <w:pPr>
      <w:shd w:val="clear" w:color="auto" w:fill="FFFFFF"/>
      <w:spacing w:before="240" w:after="240" w:line="0" w:lineRule="atLeast"/>
      <w:jc w:val="center"/>
    </w:pPr>
    <w:rPr>
      <w:rFonts w:ascii="Candara" w:eastAsia="Candara" w:hAnsi="Candara" w:cs="Candara"/>
      <w:spacing w:val="1"/>
      <w:sz w:val="16"/>
      <w:szCs w:val="16"/>
    </w:rPr>
  </w:style>
  <w:style w:type="paragraph" w:customStyle="1" w:styleId="a7">
    <w:name w:val="Оглавление"/>
    <w:basedOn w:val="a"/>
    <w:link w:val="a6"/>
    <w:rsid w:val="00906D25"/>
    <w:pPr>
      <w:shd w:val="clear" w:color="auto" w:fill="FFFFFF"/>
      <w:spacing w:before="240" w:after="24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главление (2)"/>
    <w:basedOn w:val="a"/>
    <w:link w:val="21"/>
    <w:rsid w:val="00906D2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2020-06-03T05:23:00Z</dcterms:created>
  <dcterms:modified xsi:type="dcterms:W3CDTF">2020-06-03T06:01:00Z</dcterms:modified>
</cp:coreProperties>
</file>