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83" w:rsidRPr="001E1A18" w:rsidRDefault="00AB3E83" w:rsidP="00AB3E83">
      <w:pPr>
        <w:pStyle w:val="Bodytext100"/>
        <w:shd w:val="clear" w:color="auto" w:fill="auto"/>
        <w:spacing w:before="0" w:after="0" w:line="240" w:lineRule="auto"/>
        <w:ind w:left="160"/>
        <w:jc w:val="center"/>
        <w:rPr>
          <w:rStyle w:val="Bodytext10NotBold"/>
          <w:sz w:val="32"/>
          <w:szCs w:val="32"/>
          <w:lang w:val="kk-KZ"/>
        </w:rPr>
      </w:pPr>
    </w:p>
    <w:p w:rsidR="00D77264" w:rsidRPr="001E1A18" w:rsidRDefault="001708DE" w:rsidP="00AB3E83">
      <w:pPr>
        <w:pStyle w:val="Bodytext100"/>
        <w:shd w:val="clear" w:color="auto" w:fill="auto"/>
        <w:spacing w:before="0" w:after="0" w:line="240" w:lineRule="auto"/>
        <w:ind w:left="160"/>
        <w:jc w:val="center"/>
        <w:rPr>
          <w:rStyle w:val="Bodytext10NotBold"/>
          <w:sz w:val="32"/>
          <w:szCs w:val="32"/>
          <w:lang w:val="kk-KZ"/>
        </w:rPr>
      </w:pPr>
      <w:r w:rsidRPr="001E1A18">
        <w:rPr>
          <w:rStyle w:val="Bodytext10NotBold"/>
          <w:sz w:val="32"/>
          <w:szCs w:val="32"/>
          <w:lang w:val="kk-KZ"/>
        </w:rPr>
        <w:t>CONTENTS</w:t>
      </w:r>
    </w:p>
    <w:p w:rsidR="009E4A92" w:rsidRPr="001E1A18" w:rsidRDefault="001708DE" w:rsidP="00AB3E83">
      <w:pPr>
        <w:pStyle w:val="Bodytext100"/>
        <w:shd w:val="clear" w:color="auto" w:fill="auto"/>
        <w:spacing w:before="0" w:after="0" w:line="240" w:lineRule="auto"/>
        <w:ind w:left="160"/>
        <w:jc w:val="center"/>
        <w:rPr>
          <w:sz w:val="32"/>
          <w:szCs w:val="32"/>
          <w:lang w:val="kk-KZ"/>
        </w:rPr>
      </w:pPr>
      <w:r w:rsidRPr="001E1A18">
        <w:rPr>
          <w:rStyle w:val="Bodytext10NotBold"/>
          <w:sz w:val="32"/>
          <w:szCs w:val="32"/>
          <w:lang w:val="kk-KZ"/>
        </w:rPr>
        <w:t xml:space="preserve"> </w:t>
      </w:r>
      <w:r w:rsidRPr="001E1A18">
        <w:rPr>
          <w:sz w:val="32"/>
          <w:szCs w:val="32"/>
          <w:lang w:val="kk-KZ"/>
        </w:rPr>
        <w:t>Regional geology</w:t>
      </w:r>
    </w:p>
    <w:p w:rsidR="009E4A92" w:rsidRPr="001E1A18" w:rsidRDefault="001708DE" w:rsidP="00AB3E83">
      <w:pPr>
        <w:pStyle w:val="Bodytext90"/>
        <w:shd w:val="clear" w:color="auto" w:fill="auto"/>
        <w:spacing w:before="0" w:after="0" w:line="240" w:lineRule="auto"/>
        <w:ind w:left="160" w:firstLine="0"/>
        <w:jc w:val="center"/>
        <w:rPr>
          <w:sz w:val="32"/>
          <w:szCs w:val="32"/>
          <w:lang w:val="kk-KZ"/>
        </w:rPr>
      </w:pPr>
      <w:r w:rsidRPr="001E1A18">
        <w:rPr>
          <w:rStyle w:val="Bodytext9Italic"/>
          <w:sz w:val="32"/>
          <w:szCs w:val="32"/>
          <w:lang w:val="kk-KZ"/>
        </w:rPr>
        <w:t>ZeilikB.S.</w:t>
      </w:r>
      <w:r w:rsidRPr="001E1A18">
        <w:rPr>
          <w:sz w:val="32"/>
          <w:szCs w:val="32"/>
          <w:lang w:val="kk-KZ"/>
        </w:rPr>
        <w:t xml:space="preserve"> The problem of space for the planet preserving life on earth (geological-geophysical data cosmogenic</w:t>
      </w:r>
    </w:p>
    <w:p w:rsidR="009E4A92" w:rsidRPr="001E1A18" w:rsidRDefault="00E673EB" w:rsidP="00AB3E83">
      <w:pPr>
        <w:pStyle w:val="Tableofcontents0"/>
        <w:shd w:val="clear" w:color="auto" w:fill="auto"/>
        <w:tabs>
          <w:tab w:val="right" w:leader="dot" w:pos="9238"/>
        </w:tabs>
        <w:spacing w:line="240" w:lineRule="auto"/>
        <w:rPr>
          <w:sz w:val="32"/>
          <w:szCs w:val="32"/>
          <w:lang w:val="kk-KZ"/>
        </w:rPr>
      </w:pPr>
      <w:r w:rsidRPr="001E1A18">
        <w:rPr>
          <w:sz w:val="32"/>
          <w:szCs w:val="32"/>
          <w:lang w:val="kk-KZ"/>
        </w:rPr>
        <w:fldChar w:fldCharType="begin"/>
      </w:r>
      <w:r w:rsidR="001708DE" w:rsidRPr="001E1A18">
        <w:rPr>
          <w:sz w:val="32"/>
          <w:szCs w:val="32"/>
          <w:lang w:val="kk-KZ"/>
        </w:rPr>
        <w:instrText xml:space="preserve"> TOC \o "1-3" \h \z </w:instrText>
      </w:r>
      <w:r w:rsidRPr="001E1A18">
        <w:rPr>
          <w:sz w:val="32"/>
          <w:szCs w:val="32"/>
          <w:lang w:val="kk-KZ"/>
        </w:rPr>
        <w:fldChar w:fldCharType="separate"/>
      </w:r>
      <w:r w:rsidR="001708DE" w:rsidRPr="001E1A18">
        <w:rPr>
          <w:sz w:val="32"/>
          <w:szCs w:val="32"/>
          <w:lang w:val="kk-KZ"/>
        </w:rPr>
        <w:t>accidents)</w:t>
      </w:r>
      <w:r w:rsidR="001708DE" w:rsidRPr="001E1A18">
        <w:rPr>
          <w:sz w:val="32"/>
          <w:szCs w:val="32"/>
          <w:lang w:val="kk-KZ"/>
        </w:rPr>
        <w:tab/>
        <w:t xml:space="preserve"> 5</w:t>
      </w:r>
    </w:p>
    <w:p w:rsidR="009E4A92" w:rsidRPr="001E1A18" w:rsidRDefault="001708DE" w:rsidP="00AB3E83">
      <w:pPr>
        <w:pStyle w:val="Tableofcontents0"/>
        <w:shd w:val="clear" w:color="auto" w:fill="auto"/>
        <w:tabs>
          <w:tab w:val="left" w:leader="dot" w:pos="9007"/>
        </w:tabs>
        <w:spacing w:after="195" w:line="240" w:lineRule="auto"/>
        <w:ind w:firstLine="420"/>
        <w:rPr>
          <w:sz w:val="32"/>
          <w:szCs w:val="32"/>
          <w:lang w:val="kk-KZ"/>
        </w:rPr>
      </w:pPr>
      <w:r w:rsidRPr="001E1A18">
        <w:rPr>
          <w:rStyle w:val="TableofcontentsItalic"/>
          <w:sz w:val="32"/>
          <w:szCs w:val="32"/>
          <w:lang w:val="kk-KZ"/>
        </w:rPr>
        <w:t>Gadeev R.R.</w:t>
      </w:r>
      <w:r w:rsidRPr="001E1A18">
        <w:rPr>
          <w:sz w:val="32"/>
          <w:szCs w:val="32"/>
          <w:lang w:val="kk-KZ"/>
        </w:rPr>
        <w:t xml:space="preserve"> А-type granites of the Dzhungarian Alatau</w:t>
      </w:r>
      <w:r w:rsidRPr="001E1A18">
        <w:rPr>
          <w:sz w:val="32"/>
          <w:szCs w:val="32"/>
          <w:lang w:val="kk-KZ"/>
        </w:rPr>
        <w:tab/>
        <w:t>16</w:t>
      </w:r>
    </w:p>
    <w:p w:rsidR="009E4A92" w:rsidRPr="001E1A18" w:rsidRDefault="001708DE" w:rsidP="00AB3E83">
      <w:pPr>
        <w:pStyle w:val="Tableofcontents20"/>
        <w:shd w:val="clear" w:color="auto" w:fill="auto"/>
        <w:spacing w:before="0" w:after="171" w:line="240" w:lineRule="auto"/>
        <w:ind w:left="160"/>
        <w:rPr>
          <w:sz w:val="32"/>
          <w:szCs w:val="32"/>
          <w:lang w:val="kk-KZ"/>
        </w:rPr>
      </w:pPr>
      <w:r w:rsidRPr="001E1A18">
        <w:rPr>
          <w:sz w:val="32"/>
          <w:szCs w:val="32"/>
          <w:lang w:val="kk-KZ"/>
        </w:rPr>
        <w:t>Mitallogeny, forecasts, perspectives</w:t>
      </w:r>
    </w:p>
    <w:p w:rsidR="009E4A92" w:rsidRPr="001E1A18" w:rsidRDefault="001708DE" w:rsidP="00AB3E83">
      <w:pPr>
        <w:pStyle w:val="Tableofcontents0"/>
        <w:shd w:val="clear" w:color="auto" w:fill="auto"/>
        <w:tabs>
          <w:tab w:val="right" w:leader="dot" w:pos="9238"/>
        </w:tabs>
        <w:spacing w:line="240" w:lineRule="auto"/>
        <w:ind w:right="220" w:firstLine="420"/>
        <w:rPr>
          <w:sz w:val="32"/>
          <w:szCs w:val="32"/>
          <w:lang w:val="kk-KZ"/>
        </w:rPr>
      </w:pPr>
      <w:r w:rsidRPr="001E1A18">
        <w:rPr>
          <w:rStyle w:val="TableofcontentsItalic"/>
          <w:sz w:val="32"/>
          <w:szCs w:val="32"/>
          <w:lang w:val="kk-KZ"/>
        </w:rPr>
        <w:t>Роднова В.И., ГилевЮ.Н., Мамонов Е.П., Умарбекова З.Т.</w:t>
      </w:r>
      <w:r w:rsidRPr="001E1A18">
        <w:rPr>
          <w:sz w:val="32"/>
          <w:szCs w:val="32"/>
          <w:lang w:val="kk-KZ"/>
        </w:rPr>
        <w:t xml:space="preserve"> Механизм формирования и вещественный состав руд месторождения Каратас( Южный Казахстан)</w:t>
      </w:r>
      <w:r w:rsidRPr="001E1A18">
        <w:rPr>
          <w:sz w:val="32"/>
          <w:szCs w:val="32"/>
          <w:lang w:val="kk-KZ"/>
        </w:rPr>
        <w:tab/>
        <w:t>22</w:t>
      </w:r>
    </w:p>
    <w:p w:rsidR="009E4A92" w:rsidRPr="001E1A18" w:rsidRDefault="001708DE" w:rsidP="00AB3E83">
      <w:pPr>
        <w:pStyle w:val="Tableofcontents0"/>
        <w:shd w:val="clear" w:color="auto" w:fill="auto"/>
        <w:tabs>
          <w:tab w:val="right" w:leader="dot" w:pos="9238"/>
        </w:tabs>
        <w:spacing w:after="269" w:line="240" w:lineRule="auto"/>
        <w:ind w:right="220" w:firstLine="420"/>
        <w:rPr>
          <w:sz w:val="32"/>
          <w:szCs w:val="32"/>
          <w:lang w:val="kk-KZ"/>
        </w:rPr>
      </w:pPr>
      <w:r w:rsidRPr="001E1A18">
        <w:rPr>
          <w:rStyle w:val="TableofcontentsItalic"/>
          <w:sz w:val="32"/>
          <w:szCs w:val="32"/>
          <w:lang w:val="kk-KZ"/>
        </w:rPr>
        <w:t>Rodnova V.I., Giljv J.N., Mamonov</w:t>
      </w:r>
      <w:r w:rsidR="00575DC9" w:rsidRPr="001E1A18">
        <w:rPr>
          <w:rStyle w:val="TableofcontentsItalic"/>
          <w:sz w:val="32"/>
          <w:szCs w:val="32"/>
          <w:lang w:val="kk-KZ"/>
        </w:rPr>
        <w:t xml:space="preserve"> </w:t>
      </w:r>
      <w:r w:rsidRPr="001E1A18">
        <w:rPr>
          <w:rStyle w:val="TableofcontentsItalic"/>
          <w:sz w:val="32"/>
          <w:szCs w:val="32"/>
          <w:lang w:val="kk-KZ"/>
        </w:rPr>
        <w:t>E.P., Umarbekova Z.T.</w:t>
      </w:r>
      <w:r w:rsidRPr="001E1A18">
        <w:rPr>
          <w:sz w:val="32"/>
          <w:szCs w:val="32"/>
          <w:lang w:val="kk-KZ"/>
        </w:rPr>
        <w:t xml:space="preserve"> Formation and ore composition of Karatas gold and base metals deposit (Southern Kazakhstan)</w:t>
      </w:r>
      <w:r w:rsidRPr="001E1A18">
        <w:rPr>
          <w:sz w:val="32"/>
          <w:szCs w:val="32"/>
          <w:lang w:val="kk-KZ"/>
        </w:rPr>
        <w:tab/>
        <w:t xml:space="preserve"> 23</w:t>
      </w:r>
    </w:p>
    <w:p w:rsidR="009E4A92" w:rsidRPr="001E1A18" w:rsidRDefault="001708DE" w:rsidP="00AB3E83">
      <w:pPr>
        <w:pStyle w:val="Tableofcontents20"/>
        <w:shd w:val="clear" w:color="auto" w:fill="auto"/>
        <w:spacing w:before="0" w:after="171" w:line="240" w:lineRule="auto"/>
        <w:ind w:left="160"/>
        <w:rPr>
          <w:sz w:val="32"/>
          <w:szCs w:val="32"/>
          <w:lang w:val="kk-KZ"/>
        </w:rPr>
      </w:pPr>
      <w:r w:rsidRPr="001E1A18">
        <w:rPr>
          <w:sz w:val="32"/>
          <w:szCs w:val="32"/>
          <w:lang w:val="kk-KZ"/>
        </w:rPr>
        <w:t>Oil and gas</w:t>
      </w:r>
    </w:p>
    <w:p w:rsidR="009E4A92" w:rsidRPr="001E1A18" w:rsidRDefault="001708DE" w:rsidP="00AB3E83">
      <w:pPr>
        <w:pStyle w:val="Tableofcontents0"/>
        <w:shd w:val="clear" w:color="auto" w:fill="auto"/>
        <w:tabs>
          <w:tab w:val="right" w:leader="dot" w:pos="9238"/>
        </w:tabs>
        <w:spacing w:line="240" w:lineRule="auto"/>
        <w:ind w:right="220" w:firstLine="420"/>
        <w:rPr>
          <w:sz w:val="32"/>
          <w:szCs w:val="32"/>
          <w:lang w:val="kk-KZ"/>
        </w:rPr>
      </w:pPr>
      <w:r w:rsidRPr="001E1A18">
        <w:rPr>
          <w:rStyle w:val="TableofcontentsItalic"/>
          <w:sz w:val="32"/>
          <w:szCs w:val="32"/>
          <w:lang w:val="kk-KZ"/>
        </w:rPr>
        <w:t>Bissengaliyev D., Temirkhassov A.M.</w:t>
      </w:r>
      <w:r w:rsidRPr="001E1A18">
        <w:rPr>
          <w:sz w:val="32"/>
          <w:szCs w:val="32"/>
          <w:lang w:val="kk-KZ"/>
        </w:rPr>
        <w:t xml:space="preserve"> Structure and prospects of cretaceous sediments western South Torgai basin on the new seismic data</w:t>
      </w:r>
      <w:r w:rsidRPr="001E1A18">
        <w:rPr>
          <w:sz w:val="32"/>
          <w:szCs w:val="32"/>
          <w:lang w:val="kk-KZ"/>
        </w:rPr>
        <w:tab/>
        <w:t>33</w:t>
      </w:r>
    </w:p>
    <w:p w:rsidR="009E4A92" w:rsidRPr="001E1A18" w:rsidRDefault="001708DE" w:rsidP="00AB3E83">
      <w:pPr>
        <w:pStyle w:val="Tableofcontents0"/>
        <w:shd w:val="clear" w:color="auto" w:fill="auto"/>
        <w:tabs>
          <w:tab w:val="right" w:leader="dot" w:pos="9238"/>
        </w:tabs>
        <w:spacing w:line="240" w:lineRule="auto"/>
        <w:ind w:right="220" w:firstLine="420"/>
        <w:rPr>
          <w:sz w:val="32"/>
          <w:szCs w:val="32"/>
          <w:lang w:val="kk-KZ"/>
        </w:rPr>
      </w:pPr>
      <w:r w:rsidRPr="001E1A18">
        <w:rPr>
          <w:rStyle w:val="TableofcontentsItalic"/>
          <w:sz w:val="32"/>
          <w:szCs w:val="32"/>
          <w:lang w:val="kk-KZ"/>
        </w:rPr>
        <w:t>Nukenov M., Bolat Y.</w:t>
      </w:r>
      <w:r w:rsidRPr="001E1A18">
        <w:rPr>
          <w:sz w:val="32"/>
          <w:szCs w:val="32"/>
          <w:lang w:val="kk-KZ"/>
        </w:rPr>
        <w:t xml:space="preserve"> Structure and petroleum perspective of Lower Syrdarya Dome at the junction area with South Turgai basin</w:t>
      </w:r>
      <w:r w:rsidRPr="001E1A18">
        <w:rPr>
          <w:sz w:val="32"/>
          <w:szCs w:val="32"/>
          <w:lang w:val="kk-KZ"/>
        </w:rPr>
        <w:tab/>
        <w:t>43</w:t>
      </w:r>
    </w:p>
    <w:p w:rsidR="009E4A92" w:rsidRPr="001E1A18" w:rsidRDefault="001708DE" w:rsidP="00AB3E83">
      <w:pPr>
        <w:pStyle w:val="Tableofcontents0"/>
        <w:shd w:val="clear" w:color="auto" w:fill="auto"/>
        <w:tabs>
          <w:tab w:val="right" w:leader="dot" w:pos="9238"/>
        </w:tabs>
        <w:spacing w:after="269" w:line="240" w:lineRule="auto"/>
        <w:ind w:right="220" w:firstLine="420"/>
        <w:rPr>
          <w:sz w:val="32"/>
          <w:szCs w:val="32"/>
          <w:lang w:val="kk-KZ"/>
        </w:rPr>
      </w:pPr>
      <w:r w:rsidRPr="001E1A18">
        <w:rPr>
          <w:rStyle w:val="TableofcontentsItalic"/>
          <w:sz w:val="32"/>
          <w:szCs w:val="32"/>
          <w:lang w:val="kk-KZ"/>
        </w:rPr>
        <w:t>Kulbatyrova B.A., Temirkhassov A.M.</w:t>
      </w:r>
      <w:r w:rsidRPr="001E1A18">
        <w:rPr>
          <w:sz w:val="32"/>
          <w:szCs w:val="32"/>
          <w:lang w:val="kk-KZ"/>
        </w:rPr>
        <w:t xml:space="preserve"> Geological structure of the western part of South Turgai basin based on results of sedimentological and seismostratigrafphic analysis</w:t>
      </w:r>
      <w:r w:rsidRPr="001E1A18">
        <w:rPr>
          <w:sz w:val="32"/>
          <w:szCs w:val="32"/>
          <w:lang w:val="kk-KZ"/>
        </w:rPr>
        <w:tab/>
        <w:t>53</w:t>
      </w:r>
    </w:p>
    <w:p w:rsidR="009E4A92" w:rsidRPr="001E1A18" w:rsidRDefault="001708DE" w:rsidP="00AB3E83">
      <w:pPr>
        <w:pStyle w:val="Tableofcontents20"/>
        <w:shd w:val="clear" w:color="auto" w:fill="auto"/>
        <w:spacing w:before="0" w:after="171" w:line="240" w:lineRule="auto"/>
        <w:ind w:left="160"/>
        <w:rPr>
          <w:sz w:val="32"/>
          <w:szCs w:val="32"/>
          <w:lang w:val="kk-KZ"/>
        </w:rPr>
      </w:pPr>
      <w:r w:rsidRPr="001E1A18">
        <w:rPr>
          <w:sz w:val="32"/>
          <w:szCs w:val="32"/>
          <w:lang w:val="kk-KZ"/>
        </w:rPr>
        <w:t>Engineering geology</w:t>
      </w:r>
    </w:p>
    <w:p w:rsidR="009E4A92" w:rsidRPr="001E1A18" w:rsidRDefault="001708DE" w:rsidP="00AB3E83">
      <w:pPr>
        <w:pStyle w:val="Tableofcontents0"/>
        <w:shd w:val="clear" w:color="auto" w:fill="auto"/>
        <w:tabs>
          <w:tab w:val="right" w:leader="dot" w:pos="9238"/>
        </w:tabs>
        <w:spacing w:after="269" w:line="240" w:lineRule="auto"/>
        <w:ind w:right="220" w:firstLine="420"/>
        <w:rPr>
          <w:sz w:val="32"/>
          <w:szCs w:val="32"/>
          <w:lang w:val="kk-KZ"/>
        </w:rPr>
      </w:pPr>
      <w:r w:rsidRPr="001E1A18">
        <w:rPr>
          <w:rStyle w:val="TableofcontentsItalic"/>
          <w:sz w:val="32"/>
          <w:szCs w:val="32"/>
          <w:lang w:val="kk-KZ"/>
        </w:rPr>
        <w:t>Mitrofanova А.К, Kalita R.Sh., Bekkuliyeva A.A., Uksukbayeva S.A.</w:t>
      </w:r>
      <w:r w:rsidRPr="001E1A18">
        <w:rPr>
          <w:sz w:val="32"/>
          <w:szCs w:val="32"/>
          <w:lang w:val="kk-KZ"/>
        </w:rPr>
        <w:t xml:space="preserve"> Safety use of nature resources and security of human activity in Almaty region</w:t>
      </w:r>
      <w:r w:rsidRPr="001E1A18">
        <w:rPr>
          <w:sz w:val="32"/>
          <w:szCs w:val="32"/>
          <w:lang w:val="kk-KZ"/>
        </w:rPr>
        <w:tab/>
        <w:t>62</w:t>
      </w:r>
    </w:p>
    <w:p w:rsidR="009E4A92" w:rsidRPr="001E1A18" w:rsidRDefault="001708DE" w:rsidP="00AB3E83">
      <w:pPr>
        <w:pStyle w:val="Tableofcontents20"/>
        <w:shd w:val="clear" w:color="auto" w:fill="auto"/>
        <w:spacing w:before="0" w:after="200" w:line="240" w:lineRule="auto"/>
        <w:ind w:left="160"/>
        <w:rPr>
          <w:sz w:val="32"/>
          <w:szCs w:val="32"/>
          <w:lang w:val="kk-KZ"/>
        </w:rPr>
      </w:pPr>
      <w:r w:rsidRPr="001E1A18">
        <w:rPr>
          <w:sz w:val="32"/>
          <w:szCs w:val="32"/>
          <w:lang w:val="kk-KZ"/>
        </w:rPr>
        <w:t>Hydrogeology</w:t>
      </w:r>
    </w:p>
    <w:p w:rsidR="009E4A92" w:rsidRPr="001E1A18" w:rsidRDefault="001708DE" w:rsidP="00AB3E83">
      <w:pPr>
        <w:pStyle w:val="Tableofcontents0"/>
        <w:shd w:val="clear" w:color="auto" w:fill="auto"/>
        <w:tabs>
          <w:tab w:val="left" w:leader="dot" w:pos="9012"/>
        </w:tabs>
        <w:spacing w:line="240" w:lineRule="auto"/>
        <w:ind w:firstLine="420"/>
        <w:rPr>
          <w:sz w:val="32"/>
          <w:szCs w:val="32"/>
          <w:lang w:val="kk-KZ"/>
        </w:rPr>
      </w:pPr>
      <w:r w:rsidRPr="001E1A18">
        <w:rPr>
          <w:rStyle w:val="TableofcontentsItalic"/>
          <w:sz w:val="32"/>
          <w:szCs w:val="32"/>
          <w:lang w:val="kk-KZ"/>
        </w:rPr>
        <w:t>Sydykov Zh.</w:t>
      </w:r>
      <w:r w:rsidRPr="001E1A18">
        <w:rPr>
          <w:sz w:val="32"/>
          <w:szCs w:val="32"/>
          <w:lang w:val="kk-KZ"/>
        </w:rPr>
        <w:t xml:space="preserve"> Formation and development of hydrogeochemistry science in Kazakhstan</w:t>
      </w:r>
      <w:r w:rsidRPr="001E1A18">
        <w:rPr>
          <w:sz w:val="32"/>
          <w:szCs w:val="32"/>
          <w:lang w:val="kk-KZ"/>
        </w:rPr>
        <w:tab/>
        <w:t>68</w:t>
      </w:r>
    </w:p>
    <w:p w:rsidR="009E4A92" w:rsidRPr="001E1A18" w:rsidRDefault="001708DE" w:rsidP="00AB3E83">
      <w:pPr>
        <w:pStyle w:val="Tableofcontents0"/>
        <w:shd w:val="clear" w:color="auto" w:fill="auto"/>
        <w:tabs>
          <w:tab w:val="left" w:leader="dot" w:pos="9026"/>
        </w:tabs>
        <w:spacing w:after="195" w:line="240" w:lineRule="auto"/>
        <w:ind w:firstLine="420"/>
        <w:rPr>
          <w:sz w:val="32"/>
          <w:szCs w:val="32"/>
          <w:lang w:val="kk-KZ"/>
        </w:rPr>
      </w:pPr>
      <w:r w:rsidRPr="001E1A18">
        <w:rPr>
          <w:rStyle w:val="TableofcontentsItalic"/>
          <w:sz w:val="32"/>
          <w:szCs w:val="32"/>
          <w:lang w:val="kk-KZ"/>
        </w:rPr>
        <w:t>Omirzakov N.O., Ashiryaev K.Sh.</w:t>
      </w:r>
      <w:r w:rsidRPr="001E1A18">
        <w:rPr>
          <w:sz w:val="32"/>
          <w:szCs w:val="32"/>
          <w:lang w:val="kk-KZ"/>
        </w:rPr>
        <w:t xml:space="preserve"> Analysis and forecast of use of underground waters of Almaty region</w:t>
      </w:r>
      <w:r w:rsidRPr="001E1A18">
        <w:rPr>
          <w:sz w:val="32"/>
          <w:szCs w:val="32"/>
          <w:lang w:val="kk-KZ"/>
        </w:rPr>
        <w:tab/>
        <w:t>80</w:t>
      </w:r>
    </w:p>
    <w:p w:rsidR="009E4A92" w:rsidRPr="001E1A18" w:rsidRDefault="001708DE" w:rsidP="00AB3E83">
      <w:pPr>
        <w:pStyle w:val="Tableofcontents20"/>
        <w:shd w:val="clear" w:color="auto" w:fill="auto"/>
        <w:spacing w:before="0" w:after="171" w:line="240" w:lineRule="auto"/>
        <w:ind w:left="160"/>
        <w:rPr>
          <w:sz w:val="32"/>
          <w:szCs w:val="32"/>
          <w:lang w:val="kk-KZ"/>
        </w:rPr>
      </w:pPr>
      <w:r w:rsidRPr="001E1A18">
        <w:rPr>
          <w:sz w:val="32"/>
          <w:szCs w:val="32"/>
          <w:lang w:val="kk-KZ"/>
        </w:rPr>
        <w:t>Methods</w:t>
      </w:r>
    </w:p>
    <w:p w:rsidR="009E4A92" w:rsidRPr="001E1A18" w:rsidRDefault="001708DE" w:rsidP="00AB3E83">
      <w:pPr>
        <w:pStyle w:val="Tableofcontents0"/>
        <w:shd w:val="clear" w:color="auto" w:fill="auto"/>
        <w:tabs>
          <w:tab w:val="right" w:leader="dot" w:pos="9238"/>
        </w:tabs>
        <w:spacing w:line="240" w:lineRule="auto"/>
        <w:ind w:right="220" w:firstLine="420"/>
        <w:rPr>
          <w:sz w:val="32"/>
          <w:szCs w:val="32"/>
          <w:lang w:val="kk-KZ"/>
        </w:rPr>
      </w:pPr>
      <w:r w:rsidRPr="001E1A18">
        <w:rPr>
          <w:rStyle w:val="TableofcontentsItalic"/>
          <w:sz w:val="32"/>
          <w:szCs w:val="32"/>
          <w:lang w:val="kk-KZ"/>
        </w:rPr>
        <w:lastRenderedPageBreak/>
        <w:t>Borisenko G.T., Dosymbekova Zh.B., Zhamanshalova A.B., Zakirova N.E.</w:t>
      </w:r>
      <w:r w:rsidRPr="001E1A18">
        <w:rPr>
          <w:sz w:val="32"/>
          <w:szCs w:val="32"/>
          <w:lang w:val="kk-KZ"/>
        </w:rPr>
        <w:t xml:space="preserve"> Justification of GIS data interpretation technique and determination of subcalculating parameters in terrigenous deposits</w:t>
      </w:r>
      <w:r w:rsidRPr="001E1A18">
        <w:rPr>
          <w:sz w:val="32"/>
          <w:szCs w:val="32"/>
          <w:lang w:val="kk-KZ"/>
        </w:rPr>
        <w:tab/>
        <w:t>86</w:t>
      </w:r>
    </w:p>
    <w:p w:rsidR="009E4A92" w:rsidRPr="001E1A18" w:rsidRDefault="001708DE" w:rsidP="00AB3E83">
      <w:pPr>
        <w:pStyle w:val="Tableofcontents0"/>
        <w:shd w:val="clear" w:color="auto" w:fill="auto"/>
        <w:tabs>
          <w:tab w:val="right" w:leader="dot" w:pos="9238"/>
        </w:tabs>
        <w:spacing w:after="269" w:line="240" w:lineRule="auto"/>
        <w:ind w:right="220" w:firstLine="420"/>
        <w:rPr>
          <w:sz w:val="32"/>
          <w:szCs w:val="32"/>
          <w:lang w:val="kk-KZ"/>
        </w:rPr>
      </w:pPr>
      <w:r w:rsidRPr="001E1A18">
        <w:rPr>
          <w:rStyle w:val="TableofcontentsItalic"/>
          <w:sz w:val="32"/>
          <w:szCs w:val="32"/>
          <w:lang w:val="kk-KZ"/>
        </w:rPr>
        <w:t>Nurpeisova M.B., Kyrgizbaeva G.M., Sarybaev O.A., Aitkazinova Sh.K.</w:t>
      </w:r>
      <w:r w:rsidRPr="001E1A18">
        <w:rPr>
          <w:sz w:val="32"/>
          <w:szCs w:val="32"/>
          <w:lang w:val="kk-KZ"/>
        </w:rPr>
        <w:t xml:space="preserve"> The methodology of monitoring the earth surface displacements during the development of the subsoil</w:t>
      </w:r>
      <w:r w:rsidRPr="001E1A18">
        <w:rPr>
          <w:sz w:val="32"/>
          <w:szCs w:val="32"/>
          <w:lang w:val="kk-KZ"/>
        </w:rPr>
        <w:tab/>
        <w:t>95</w:t>
      </w:r>
    </w:p>
    <w:p w:rsidR="009E4A92" w:rsidRPr="001E1A18" w:rsidRDefault="001708DE" w:rsidP="00AB3E83">
      <w:pPr>
        <w:pStyle w:val="Tableofcontents20"/>
        <w:shd w:val="clear" w:color="auto" w:fill="auto"/>
        <w:spacing w:before="0" w:after="171" w:line="240" w:lineRule="auto"/>
        <w:ind w:left="160"/>
        <w:rPr>
          <w:sz w:val="32"/>
          <w:szCs w:val="32"/>
          <w:lang w:val="kk-KZ"/>
        </w:rPr>
      </w:pPr>
      <w:r w:rsidRPr="001E1A18">
        <w:rPr>
          <w:sz w:val="32"/>
          <w:szCs w:val="32"/>
          <w:lang w:val="kk-KZ"/>
        </w:rPr>
        <w:t>Scientific heritage</w:t>
      </w:r>
    </w:p>
    <w:p w:rsidR="00AB3E83" w:rsidRPr="001E1A18" w:rsidRDefault="001708DE" w:rsidP="00AB3E83">
      <w:pPr>
        <w:pStyle w:val="Tableofcontents0"/>
        <w:shd w:val="clear" w:color="auto" w:fill="auto"/>
        <w:tabs>
          <w:tab w:val="right" w:leader="dot" w:pos="9238"/>
        </w:tabs>
        <w:spacing w:line="240" w:lineRule="auto"/>
        <w:ind w:right="220" w:firstLine="420"/>
        <w:rPr>
          <w:sz w:val="32"/>
          <w:szCs w:val="32"/>
          <w:lang w:val="kk-KZ"/>
        </w:rPr>
      </w:pPr>
      <w:r w:rsidRPr="001E1A18">
        <w:rPr>
          <w:rStyle w:val="TableofcontentsItalic"/>
          <w:sz w:val="32"/>
          <w:szCs w:val="32"/>
          <w:lang w:val="kk-KZ"/>
        </w:rPr>
        <w:t>Sejtmuratova Je.Ju.</w:t>
      </w:r>
      <w:r w:rsidRPr="001E1A18">
        <w:rPr>
          <w:sz w:val="32"/>
          <w:szCs w:val="32"/>
          <w:lang w:val="kk-KZ"/>
        </w:rPr>
        <w:t xml:space="preserve"> Name and scientific heritage of G. Bekzhanova is the priceless property of geologists of Kazakhstan</w:t>
      </w:r>
      <w:r w:rsidRPr="001E1A18">
        <w:rPr>
          <w:sz w:val="32"/>
          <w:szCs w:val="32"/>
          <w:lang w:val="kk-KZ"/>
        </w:rPr>
        <w:tab/>
        <w:t>101</w:t>
      </w:r>
      <w:r w:rsidR="00E673EB" w:rsidRPr="001E1A18">
        <w:rPr>
          <w:sz w:val="32"/>
          <w:szCs w:val="32"/>
          <w:lang w:val="kk-KZ"/>
        </w:rPr>
        <w:fldChar w:fldCharType="end"/>
      </w:r>
    </w:p>
    <w:p w:rsidR="00AB3E83" w:rsidRPr="001E1A18" w:rsidRDefault="00AB3E83" w:rsidP="00AB3E83">
      <w:pPr>
        <w:rPr>
          <w:sz w:val="32"/>
          <w:szCs w:val="32"/>
          <w:lang w:val="kk-KZ"/>
        </w:rPr>
      </w:pPr>
    </w:p>
    <w:p w:rsidR="00AB3E83" w:rsidRPr="001E1A18" w:rsidRDefault="00AB3E83" w:rsidP="00AB3E83">
      <w:pPr>
        <w:rPr>
          <w:sz w:val="32"/>
          <w:szCs w:val="32"/>
          <w:lang w:val="kk-KZ"/>
        </w:rPr>
      </w:pPr>
    </w:p>
    <w:p w:rsidR="00AB3E83" w:rsidRPr="001E1A18" w:rsidRDefault="00AB3E83" w:rsidP="00AB3E83">
      <w:pPr>
        <w:rPr>
          <w:sz w:val="32"/>
          <w:szCs w:val="32"/>
          <w:lang w:val="kk-KZ"/>
        </w:rPr>
      </w:pPr>
    </w:p>
    <w:p w:rsidR="00AB3E83" w:rsidRPr="001E1A18" w:rsidRDefault="00AB3E83" w:rsidP="00AB3E83">
      <w:pPr>
        <w:rPr>
          <w:sz w:val="32"/>
          <w:szCs w:val="32"/>
          <w:lang w:val="kk-KZ"/>
        </w:rPr>
      </w:pPr>
    </w:p>
    <w:p w:rsidR="00AB3E83" w:rsidRPr="001E1A18" w:rsidRDefault="00AB3E83" w:rsidP="00AB3E83">
      <w:pPr>
        <w:rPr>
          <w:sz w:val="32"/>
          <w:szCs w:val="32"/>
          <w:lang w:val="kk-KZ"/>
        </w:rPr>
      </w:pPr>
    </w:p>
    <w:p w:rsidR="00AB3E83" w:rsidRPr="001E1A18" w:rsidRDefault="00AB3E83" w:rsidP="00AB3E83">
      <w:pPr>
        <w:rPr>
          <w:sz w:val="32"/>
          <w:szCs w:val="32"/>
          <w:lang w:val="kk-KZ"/>
        </w:rPr>
      </w:pPr>
    </w:p>
    <w:p w:rsidR="00AB3E83" w:rsidRPr="001E1A18" w:rsidRDefault="00AB3E83" w:rsidP="00AB3E83">
      <w:pPr>
        <w:tabs>
          <w:tab w:val="left" w:pos="3855"/>
        </w:tabs>
        <w:rPr>
          <w:sz w:val="32"/>
          <w:szCs w:val="32"/>
          <w:lang w:val="kk-KZ"/>
        </w:rPr>
      </w:pPr>
      <w:r w:rsidRPr="001E1A18">
        <w:rPr>
          <w:sz w:val="32"/>
          <w:szCs w:val="32"/>
          <w:lang w:val="kk-KZ"/>
        </w:rPr>
        <w:tab/>
      </w:r>
    </w:p>
    <w:p w:rsidR="00AB3E83" w:rsidRPr="001E1A18" w:rsidRDefault="00AB3E83" w:rsidP="00AB3E83">
      <w:pPr>
        <w:rPr>
          <w:sz w:val="32"/>
          <w:szCs w:val="32"/>
          <w:lang w:val="kk-KZ"/>
        </w:rPr>
      </w:pPr>
    </w:p>
    <w:p w:rsidR="009E4A92" w:rsidRPr="001E1A18" w:rsidRDefault="009E4A92" w:rsidP="00AB3E83">
      <w:pPr>
        <w:rPr>
          <w:sz w:val="32"/>
          <w:szCs w:val="32"/>
          <w:lang w:val="kk-KZ"/>
        </w:rPr>
      </w:pPr>
      <w:bookmarkStart w:id="0" w:name="_GoBack"/>
      <w:bookmarkEnd w:id="0"/>
    </w:p>
    <w:sectPr w:rsidR="009E4A92" w:rsidRPr="001E1A18" w:rsidSect="009E4A92">
      <w:footerReference w:type="default" r:id="rId6"/>
      <w:type w:val="continuous"/>
      <w:pgSz w:w="11905" w:h="16837"/>
      <w:pgMar w:top="1327" w:right="1173" w:bottom="1342" w:left="1184" w:header="0" w:footer="3" w:gutter="0"/>
      <w:pgNumType w:start="1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B45" w:rsidRDefault="00C26B45" w:rsidP="009E4A92">
      <w:r>
        <w:separator/>
      </w:r>
    </w:p>
  </w:endnote>
  <w:endnote w:type="continuationSeparator" w:id="0">
    <w:p w:rsidR="00C26B45" w:rsidRDefault="00C26B45" w:rsidP="009E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92" w:rsidRDefault="001E1A18">
    <w:pPr>
      <w:pStyle w:val="Headerorfooter0"/>
      <w:framePr w:w="12043" w:h="134" w:wrap="none" w:vAnchor="text" w:hAnchor="page" w:x="-68" w:y="-1559"/>
      <w:shd w:val="clear" w:color="auto" w:fill="auto"/>
      <w:ind w:left="5832"/>
    </w:pPr>
    <w:r>
      <w:fldChar w:fldCharType="begin"/>
    </w:r>
    <w:r>
      <w:instrText xml:space="preserve"> PAGE \* MERGEFORMAT </w:instrText>
    </w:r>
    <w:r>
      <w:fldChar w:fldCharType="separate"/>
    </w:r>
    <w:r w:rsidRPr="001E1A18">
      <w:rPr>
        <w:rStyle w:val="Headerorfooter95pt"/>
        <w:noProof/>
      </w:rPr>
      <w:t>110</w:t>
    </w:r>
    <w:r>
      <w:rPr>
        <w:rStyle w:val="Headerorfooter95p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B45" w:rsidRDefault="00C26B45"/>
  </w:footnote>
  <w:footnote w:type="continuationSeparator" w:id="0">
    <w:p w:rsidR="00C26B45" w:rsidRDefault="00C26B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E4A92"/>
    <w:rsid w:val="001708DE"/>
    <w:rsid w:val="001E1A18"/>
    <w:rsid w:val="00231C62"/>
    <w:rsid w:val="00575DC9"/>
    <w:rsid w:val="005B2C6F"/>
    <w:rsid w:val="00815DCA"/>
    <w:rsid w:val="008A7CA8"/>
    <w:rsid w:val="009E4A92"/>
    <w:rsid w:val="00AB3E83"/>
    <w:rsid w:val="00C1671C"/>
    <w:rsid w:val="00C26B45"/>
    <w:rsid w:val="00D77264"/>
    <w:rsid w:val="00E6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0FAB5-07FC-462E-BD81-74F76192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4A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4A92"/>
    <w:rPr>
      <w:color w:val="000080"/>
      <w:u w:val="single"/>
    </w:rPr>
  </w:style>
  <w:style w:type="character" w:customStyle="1" w:styleId="Bodytext10">
    <w:name w:val="Body text (10)_"/>
    <w:basedOn w:val="a0"/>
    <w:link w:val="Bodytext100"/>
    <w:rsid w:val="009E4A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0NotBold">
    <w:name w:val="Body text (10) + Not Bold"/>
    <w:basedOn w:val="Bodytext10"/>
    <w:rsid w:val="009E4A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erorfooter">
    <w:name w:val="Header or footer_"/>
    <w:basedOn w:val="a0"/>
    <w:link w:val="Headerorfooter0"/>
    <w:rsid w:val="009E4A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95ptItalic">
    <w:name w:val="Header or footer + 9;5 pt;Italic"/>
    <w:basedOn w:val="Headerorfooter"/>
    <w:rsid w:val="009E4A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</w:rPr>
  </w:style>
  <w:style w:type="character" w:customStyle="1" w:styleId="Headerorfooter95pt">
    <w:name w:val="Header or footer + 9;5 pt"/>
    <w:basedOn w:val="Headerorfooter"/>
    <w:rsid w:val="009E4A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9">
    <w:name w:val="Body text (9)_"/>
    <w:basedOn w:val="a0"/>
    <w:link w:val="Bodytext90"/>
    <w:rsid w:val="009E4A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9Italic">
    <w:name w:val="Body text (9) + Italic"/>
    <w:basedOn w:val="Bodytext9"/>
    <w:rsid w:val="009E4A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Tableofcontents">
    <w:name w:val="Table of contents_"/>
    <w:basedOn w:val="a0"/>
    <w:link w:val="Tableofcontents0"/>
    <w:rsid w:val="009E4A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ableofcontentsItalic">
    <w:name w:val="Table of contents + Italic"/>
    <w:basedOn w:val="Tableofcontents"/>
    <w:rsid w:val="009E4A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Tableofcontents2">
    <w:name w:val="Table of contents (2)_"/>
    <w:basedOn w:val="a0"/>
    <w:link w:val="Tableofcontents20"/>
    <w:rsid w:val="009E4A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Bodytext100">
    <w:name w:val="Body text (10)"/>
    <w:basedOn w:val="a"/>
    <w:link w:val="Bodytext10"/>
    <w:rsid w:val="009E4A9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erorfooter0">
    <w:name w:val="Header or footer"/>
    <w:basedOn w:val="a"/>
    <w:link w:val="Headerorfooter"/>
    <w:rsid w:val="009E4A9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90">
    <w:name w:val="Body text (9)"/>
    <w:basedOn w:val="a"/>
    <w:link w:val="Bodytext9"/>
    <w:rsid w:val="009E4A92"/>
    <w:pPr>
      <w:shd w:val="clear" w:color="auto" w:fill="FFFFFF"/>
      <w:spacing w:before="180" w:after="60" w:line="206" w:lineRule="exact"/>
      <w:ind w:hanging="18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ofcontents0">
    <w:name w:val="Table of contents"/>
    <w:basedOn w:val="a"/>
    <w:link w:val="Tableofcontents"/>
    <w:rsid w:val="009E4A92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ofcontents20">
    <w:name w:val="Table of contents (2)"/>
    <w:basedOn w:val="a"/>
    <w:link w:val="Tableofcontents2"/>
    <w:rsid w:val="009E4A92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4">
    <w:name w:val="header"/>
    <w:basedOn w:val="a"/>
    <w:link w:val="a5"/>
    <w:uiPriority w:val="99"/>
    <w:semiHidden/>
    <w:unhideWhenUsed/>
    <w:rsid w:val="00AB3E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3E83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AB3E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3E8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1630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- 0_Геология__04_2015__--- 112 cтр</dc:title>
  <dc:creator>AktotyT</dc:creator>
  <cp:lastModifiedBy>Berkin</cp:lastModifiedBy>
  <cp:revision>5</cp:revision>
  <dcterms:created xsi:type="dcterms:W3CDTF">2015-09-11T09:44:00Z</dcterms:created>
  <dcterms:modified xsi:type="dcterms:W3CDTF">2015-10-01T05:11:00Z</dcterms:modified>
</cp:coreProperties>
</file>